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8DA" w:rsidRDefault="004148DA" w:rsidP="00A1040A">
      <w:pPr>
        <w:pStyle w:val="Heading1"/>
      </w:pPr>
      <w:smartTag w:uri="urn:schemas-microsoft-com:office:smarttags" w:element="date">
        <w:smartTagPr>
          <w:attr w:name="Month" w:val="12"/>
          <w:attr w:name="Day" w:val="6"/>
          <w:attr w:name="Year" w:val="2006"/>
        </w:smartTagPr>
        <w:r>
          <w:t>December 6, 2006</w:t>
        </w:r>
      </w:smartTag>
    </w:p>
    <w:p w:rsidR="004148DA" w:rsidRDefault="00C374E9">
      <w:r>
        <w:t>To: Mr.</w:t>
      </w:r>
      <w:r w:rsidR="00C31B6B">
        <w:t xml:space="preserve"> Francis Knize,</w:t>
      </w:r>
      <w:r>
        <w:t xml:space="preserve"> Producer, (203)544-9603, </w:t>
      </w:r>
      <w:hyperlink r:id="rId7" w:history="1">
        <w:r w:rsidR="00C31B6B" w:rsidRPr="003C38DB">
          <w:rPr>
            <w:rStyle w:val="Hyperlink"/>
          </w:rPr>
          <w:t>Frankknee@aol.com</w:t>
        </w:r>
      </w:hyperlink>
    </w:p>
    <w:p w:rsidR="00C31B6B" w:rsidRDefault="00C31B6B"/>
    <w:p w:rsidR="004148DA" w:rsidRDefault="004148DA">
      <w:r>
        <w:t>Dear Francis,</w:t>
      </w:r>
    </w:p>
    <w:p w:rsidR="004148DA" w:rsidRDefault="004148DA"/>
    <w:p w:rsidR="004148DA" w:rsidRDefault="004148DA">
      <w:r>
        <w:t>Please find below the material that we need. The Ethics in Government Act of 1978 is attached hereto. Finding these materials may require contacting more than one agency such as:</w:t>
      </w:r>
    </w:p>
    <w:p w:rsidR="004148DA" w:rsidRDefault="004148DA">
      <w:pPr>
        <w:numPr>
          <w:ilvl w:val="1"/>
          <w:numId w:val="1"/>
        </w:numPr>
      </w:pPr>
      <w:r>
        <w:t>The Administrative Office of the U.S. Courts for material issued by the Judicial Conference or any committee established by it;</w:t>
      </w:r>
    </w:p>
    <w:p w:rsidR="004148DA" w:rsidRDefault="004148DA">
      <w:pPr>
        <w:numPr>
          <w:ilvl w:val="1"/>
          <w:numId w:val="1"/>
        </w:numPr>
      </w:pPr>
      <w:r>
        <w:t>The Judiciary Committees of the House of Representative and the Senate;</w:t>
      </w:r>
    </w:p>
    <w:p w:rsidR="004148DA" w:rsidRDefault="004148DA">
      <w:pPr>
        <w:numPr>
          <w:ilvl w:val="1"/>
          <w:numId w:val="1"/>
        </w:numPr>
      </w:pPr>
      <w:r>
        <w:t>The Office of Government Ethics;</w:t>
      </w:r>
    </w:p>
    <w:p w:rsidR="004148DA" w:rsidRDefault="004148DA">
      <w:pPr>
        <w:numPr>
          <w:ilvl w:val="1"/>
          <w:numId w:val="1"/>
        </w:numPr>
      </w:pPr>
      <w:r>
        <w:t>The Comptroller General;</w:t>
      </w:r>
    </w:p>
    <w:p w:rsidR="004148DA" w:rsidRDefault="004148DA">
      <w:pPr>
        <w:numPr>
          <w:ilvl w:val="1"/>
          <w:numId w:val="1"/>
        </w:numPr>
      </w:pPr>
      <w:r>
        <w:t>The Library of Congress.</w:t>
      </w:r>
    </w:p>
    <w:p w:rsidR="004148DA" w:rsidRDefault="004148DA"/>
    <w:p w:rsidR="004148DA" w:rsidRDefault="004148DA">
      <w:r>
        <w:t>Thank you for your efforts.</w:t>
      </w:r>
    </w:p>
    <w:p w:rsidR="004148DA" w:rsidRDefault="004148DA"/>
    <w:p w:rsidR="004148DA" w:rsidRDefault="004148DA">
      <w:r>
        <w:t>Sincerely,</w:t>
      </w:r>
    </w:p>
    <w:p w:rsidR="004148DA" w:rsidRDefault="004148DA">
      <w:r>
        <w:t>Dr. Richard Cordero, Esq.</w:t>
      </w:r>
    </w:p>
    <w:p w:rsidR="004148DA" w:rsidRDefault="004148DA"/>
    <w:p w:rsidR="004148DA" w:rsidRDefault="004148DA"/>
    <w:p w:rsidR="00900F2A" w:rsidRDefault="00044CD5">
      <w:r>
        <w:t>The request from the Office of Government Ethics or Judicial Conference are for the following items provided for in the Ethics in Government Act of 1978</w:t>
      </w:r>
      <w:r w:rsidR="00815729">
        <w:t>, 5 USCA App. 4</w:t>
      </w:r>
    </w:p>
    <w:p w:rsidR="00044CD5" w:rsidRDefault="00044CD5"/>
    <w:p w:rsidR="005A2F97" w:rsidRDefault="00044CD5" w:rsidP="00044CD5">
      <w:pPr>
        <w:numPr>
          <w:ilvl w:val="0"/>
          <w:numId w:val="1"/>
        </w:numPr>
      </w:pPr>
      <w:r>
        <w:t xml:space="preserve">rules </w:t>
      </w:r>
      <w:r w:rsidR="00175419">
        <w:t xml:space="preserve">and regulations </w:t>
      </w:r>
      <w:r>
        <w:t xml:space="preserve">referred to in </w:t>
      </w:r>
    </w:p>
    <w:p w:rsidR="005A2F97" w:rsidRDefault="00044CD5" w:rsidP="005A2F97">
      <w:pPr>
        <w:numPr>
          <w:ilvl w:val="1"/>
          <w:numId w:val="1"/>
        </w:numPr>
      </w:pPr>
      <w:r>
        <w:t>§102(b)(2)(A)</w:t>
      </w:r>
      <w:r w:rsidR="00175419">
        <w:t xml:space="preserve"> </w:t>
      </w:r>
    </w:p>
    <w:p w:rsidR="00044CD5" w:rsidRDefault="00175419" w:rsidP="005A2F97">
      <w:pPr>
        <w:numPr>
          <w:ilvl w:val="1"/>
          <w:numId w:val="1"/>
        </w:numPr>
      </w:pPr>
      <w:r>
        <w:t>§106(b)(3) last sentence</w:t>
      </w:r>
      <w:r w:rsidR="005A2F97">
        <w:t xml:space="preserve">, and </w:t>
      </w:r>
    </w:p>
    <w:p w:rsidR="005A2F97" w:rsidRDefault="005A2F97" w:rsidP="005A2F97">
      <w:pPr>
        <w:numPr>
          <w:ilvl w:val="1"/>
          <w:numId w:val="1"/>
        </w:numPr>
        <w:spacing w:after="120"/>
      </w:pPr>
      <w:r>
        <w:t>§106(b)(6)</w:t>
      </w:r>
    </w:p>
    <w:p w:rsidR="005A2F97" w:rsidRDefault="00044CD5" w:rsidP="00044CD5">
      <w:pPr>
        <w:numPr>
          <w:ilvl w:val="0"/>
          <w:numId w:val="1"/>
        </w:numPr>
      </w:pPr>
      <w:r>
        <w:t xml:space="preserve">forms for reporting the information required </w:t>
      </w:r>
      <w:r w:rsidR="005A2F97">
        <w:t>under</w:t>
      </w:r>
    </w:p>
    <w:p w:rsidR="00044CD5" w:rsidRDefault="00044CD5" w:rsidP="00044CD5">
      <w:pPr>
        <w:numPr>
          <w:ilvl w:val="1"/>
          <w:numId w:val="1"/>
        </w:numPr>
      </w:pPr>
      <w:r>
        <w:t>§103(g)</w:t>
      </w:r>
      <w:r w:rsidR="005A2F97">
        <w:t xml:space="preserve">, and </w:t>
      </w:r>
    </w:p>
    <w:p w:rsidR="005A2F97" w:rsidRDefault="005A2F97" w:rsidP="005A2F97">
      <w:pPr>
        <w:numPr>
          <w:ilvl w:val="1"/>
          <w:numId w:val="1"/>
        </w:numPr>
        <w:spacing w:after="120"/>
      </w:pPr>
      <w:r>
        <w:t>§107(a)(1)</w:t>
      </w:r>
    </w:p>
    <w:p w:rsidR="00044CD5" w:rsidRDefault="00044CD5" w:rsidP="005A2F97">
      <w:pPr>
        <w:numPr>
          <w:ilvl w:val="0"/>
          <w:numId w:val="1"/>
        </w:numPr>
        <w:spacing w:after="120"/>
      </w:pPr>
      <w:r>
        <w:t>then annual report that under §105(b)(3)(C) the Administrative Office of the U.S.</w:t>
      </w:r>
      <w:r w:rsidR="00175419">
        <w:t xml:space="preserve"> Courts must submit to the Committees on the Judiciary of the House of Representatives and the Senate </w:t>
      </w:r>
    </w:p>
    <w:p w:rsidR="00175419" w:rsidRDefault="00175419" w:rsidP="005A2F97">
      <w:pPr>
        <w:numPr>
          <w:ilvl w:val="0"/>
          <w:numId w:val="1"/>
        </w:numPr>
        <w:spacing w:after="120"/>
      </w:pPr>
      <w:r>
        <w:t>the regulations issued by the Judicial Conference under §105(b)(3)(D) setting forth the circumstances under which redaction of financial disclosure reports is appropriate and the procedures for redaction</w:t>
      </w:r>
    </w:p>
    <w:p w:rsidR="00175419" w:rsidRDefault="00175419" w:rsidP="005A2F97">
      <w:pPr>
        <w:numPr>
          <w:ilvl w:val="0"/>
          <w:numId w:val="1"/>
        </w:numPr>
        <w:spacing w:after="120"/>
      </w:pPr>
      <w:r>
        <w:t>provisions made under §106(a)(2) by the Judicial Conference to ensure that each report filed under the Act is reviewed within sixty day</w:t>
      </w:r>
      <w:r w:rsidR="005A2F97">
        <w:t>s after the date of such filing;</w:t>
      </w:r>
    </w:p>
    <w:p w:rsidR="005A2F97" w:rsidRDefault="005A2F97" w:rsidP="005A2F97">
      <w:pPr>
        <w:numPr>
          <w:ilvl w:val="0"/>
          <w:numId w:val="1"/>
        </w:numPr>
        <w:spacing w:after="120"/>
      </w:pPr>
      <w:r>
        <w:t>the advisory opinions issued by the Judicial Conference under §106(b)(7)</w:t>
      </w:r>
    </w:p>
    <w:p w:rsidR="005A2F97" w:rsidRDefault="005A2F97" w:rsidP="005A2F97">
      <w:pPr>
        <w:numPr>
          <w:ilvl w:val="0"/>
          <w:numId w:val="1"/>
        </w:numPr>
        <w:spacing w:after="120"/>
      </w:pPr>
      <w:r>
        <w:t>the studies conducted by the Comptroller General under §108(b)</w:t>
      </w:r>
    </w:p>
    <w:p w:rsidR="005A2F97" w:rsidRDefault="005A2F97" w:rsidP="005A2F97">
      <w:pPr>
        <w:numPr>
          <w:ilvl w:val="0"/>
          <w:numId w:val="1"/>
        </w:numPr>
        <w:spacing w:after="120"/>
      </w:pPr>
      <w:r>
        <w:lastRenderedPageBreak/>
        <w:t>the laws and regulations referred to under §110(a) governing conflicts of interest of, or establishing standards of conduct applicable with respect to, officers or employees of the Government</w:t>
      </w:r>
    </w:p>
    <w:p w:rsidR="004148DA" w:rsidRDefault="004148DA" w:rsidP="005A2F97">
      <w:pPr>
        <w:numPr>
          <w:ilvl w:val="0"/>
          <w:numId w:val="1"/>
        </w:numPr>
        <w:spacing w:after="120"/>
      </w:pPr>
      <w:r>
        <w:t>the statement under §111 last sentence whereby the Judicial Conference delegated any authority under the Act to an ethics committee established by it and the rules of such committee</w:t>
      </w:r>
    </w:p>
    <w:p w:rsidR="00A1040A" w:rsidRDefault="00A1040A" w:rsidP="00A1040A">
      <w:pPr>
        <w:spacing w:after="120"/>
      </w:pPr>
    </w:p>
    <w:p w:rsidR="00A1040A" w:rsidRDefault="00A1040A" w:rsidP="00A1040A">
      <w:pPr>
        <w:spacing w:after="120"/>
      </w:pPr>
      <w:r>
        <w:t>AO Form 10 for financial disclosures by judicial officers</w:t>
      </w:r>
    </w:p>
    <w:p w:rsidR="00A1040A" w:rsidRDefault="00A1040A" w:rsidP="00A1040A">
      <w:pPr>
        <w:spacing w:after="120"/>
      </w:pPr>
    </w:p>
    <w:p w:rsidR="00A1040A" w:rsidRDefault="00A1040A" w:rsidP="00A1040A">
      <w:r w:rsidRPr="00A1040A">
        <w:t>Committee on Financial Disclosure</w:t>
      </w:r>
      <w:r>
        <w:t xml:space="preserve"> </w:t>
      </w:r>
    </w:p>
    <w:p w:rsidR="00A1040A" w:rsidRDefault="00A1040A" w:rsidP="00A1040A">
      <w:r w:rsidRPr="00A1040A">
        <w:t xml:space="preserve">Administrative </w:t>
      </w:r>
      <w:r>
        <w:t xml:space="preserve">Office of the </w:t>
      </w:r>
      <w:smartTag w:uri="urn:schemas-microsoft-com:office:smarttags" w:element="country-region">
        <w:smartTag w:uri="urn:schemas-microsoft-com:office:smarttags" w:element="place">
          <w:r w:rsidRPr="00A1040A">
            <w:t>U</w:t>
          </w:r>
          <w:r>
            <w:t>.S.</w:t>
          </w:r>
        </w:smartTag>
      </w:smartTag>
      <w:r w:rsidRPr="00A1040A">
        <w:t xml:space="preserve"> Courts</w:t>
      </w:r>
      <w:r>
        <w:t xml:space="preserve">, </w:t>
      </w:r>
      <w:smartTag w:uri="urn:schemas-microsoft-com:office:smarttags" w:element="address">
        <w:smartTag w:uri="urn:schemas-microsoft-com:office:smarttags" w:element="Street">
          <w:r w:rsidRPr="00A1040A">
            <w:t>Suite 2</w:t>
          </w:r>
        </w:smartTag>
        <w:r w:rsidRPr="00A1040A">
          <w:t>-</w:t>
        </w:r>
      </w:smartTag>
      <w:r w:rsidRPr="00A1040A">
        <w:t>301</w:t>
      </w:r>
    </w:p>
    <w:p w:rsidR="00A1040A" w:rsidRDefault="00A1040A" w:rsidP="00A1040A">
      <w:smartTag w:uri="urn:schemas-microsoft-com:office:smarttags" w:element="Street">
        <w:smartTag w:uri="urn:schemas-microsoft-com:office:smarttags" w:element="address">
          <w:r w:rsidRPr="00A1040A">
            <w:t>One Columbus Circle, N.E.</w:t>
          </w:r>
        </w:smartTag>
      </w:smartTag>
    </w:p>
    <w:p w:rsidR="00A1040A" w:rsidRPr="00A1040A" w:rsidRDefault="00A1040A" w:rsidP="00A1040A">
      <w:smartTag w:uri="urn:schemas-microsoft-com:office:smarttags" w:element="place">
        <w:smartTag w:uri="urn:schemas-microsoft-com:office:smarttags" w:element="City">
          <w:r w:rsidRPr="00A1040A">
            <w:t>Washington</w:t>
          </w:r>
        </w:smartTag>
        <w:r w:rsidRPr="00A1040A">
          <w:t xml:space="preserve">, </w:t>
        </w:r>
        <w:smartTag w:uri="urn:schemas-microsoft-com:office:smarttags" w:element="State">
          <w:r w:rsidRPr="00A1040A">
            <w:t>D.C.</w:t>
          </w:r>
        </w:smartTag>
      </w:smartTag>
      <w:r w:rsidRPr="00A1040A">
        <w:t xml:space="preserve">  20544</w:t>
      </w:r>
    </w:p>
    <w:p w:rsidR="00A1040A" w:rsidRDefault="00A1040A" w:rsidP="00A1040A"/>
    <w:p w:rsidR="00A1040A" w:rsidRDefault="00815729" w:rsidP="00815729">
      <w:pPr>
        <w:pStyle w:val="Heading1"/>
      </w:pPr>
      <w:r>
        <w:t xml:space="preserve">Thursday, 31may7, to West </w:t>
      </w:r>
      <w:r w:rsidR="00235690">
        <w:t>Thomson Su</w:t>
      </w:r>
      <w:r>
        <w:t>sie McCauley</w:t>
      </w:r>
    </w:p>
    <w:p w:rsidR="00235690" w:rsidRDefault="00235690" w:rsidP="00A1040A">
      <w:pPr>
        <w:sectPr w:rsidR="00235690" w:rsidSect="0098338B">
          <w:footerReference w:type="even" r:id="rId8"/>
          <w:footerReference w:type="default" r:id="rId9"/>
          <w:pgSz w:w="12240" w:h="15840" w:code="1"/>
          <w:pgMar w:top="1440" w:right="1440" w:bottom="1440" w:left="1440" w:header="0" w:footer="864" w:gutter="0"/>
          <w:cols w:space="720"/>
          <w:docGrid w:linePitch="360"/>
        </w:sectPr>
      </w:pPr>
    </w:p>
    <w:p w:rsidR="00C006F7" w:rsidRPr="00C006F7" w:rsidRDefault="00C006F7" w:rsidP="00C006F7">
      <w:pPr>
        <w:ind w:left="360"/>
        <w:jc w:val="center"/>
        <w:rPr>
          <w:rFonts w:ascii="Palatino Linotype" w:hAnsi="Palatino Linotype"/>
          <w:b/>
          <w:color w:val="000000"/>
          <w:sz w:val="28"/>
          <w:szCs w:val="28"/>
        </w:rPr>
      </w:pPr>
      <w:r w:rsidRPr="00C006F7">
        <w:rPr>
          <w:rFonts w:ascii="Palatino Linotype" w:hAnsi="Palatino Linotype"/>
          <w:b/>
          <w:color w:val="000000"/>
          <w:sz w:val="28"/>
          <w:szCs w:val="28"/>
        </w:rPr>
        <w:lastRenderedPageBreak/>
        <w:t>Dr. Richard Cordero, Esq.</w:t>
      </w:r>
    </w:p>
    <w:p w:rsidR="00C006F7" w:rsidRPr="00C006F7" w:rsidRDefault="00C006F7" w:rsidP="00C006F7">
      <w:pPr>
        <w:tabs>
          <w:tab w:val="right" w:pos="10800"/>
        </w:tabs>
        <w:rPr>
          <w:rFonts w:ascii="Palatino Linotype" w:hAnsi="Palatino Linotype" w:cs="Arial"/>
          <w:b/>
          <w:bCs/>
          <w:color w:val="000000"/>
          <w:sz w:val="18"/>
        </w:rPr>
      </w:pPr>
      <w:r w:rsidRPr="00C006F7">
        <w:rPr>
          <w:rFonts w:ascii="Palatino Linotype" w:hAnsi="Palatino Linotype" w:cs="Arial"/>
          <w:b/>
          <w:bCs/>
          <w:color w:val="000000"/>
          <w:sz w:val="18"/>
        </w:rPr>
        <w:t xml:space="preserve">Ph.D., </w:t>
      </w:r>
      <w:smartTag w:uri="urn:schemas-microsoft-com:office:smarttags" w:element="place">
        <w:smartTag w:uri="urn:schemas-microsoft-com:office:smarttags" w:element="City">
          <w:r w:rsidRPr="00C006F7">
            <w:rPr>
              <w:rFonts w:ascii="Palatino Linotype" w:hAnsi="Palatino Linotype" w:cs="Arial"/>
              <w:b/>
              <w:bCs/>
              <w:color w:val="000000"/>
              <w:sz w:val="18"/>
            </w:rPr>
            <w:t>University of Cambridge</w:t>
          </w:r>
        </w:smartTag>
        <w:r w:rsidRPr="00C006F7">
          <w:rPr>
            <w:rFonts w:ascii="Palatino Linotype" w:hAnsi="Palatino Linotype" w:cs="Arial"/>
            <w:b/>
            <w:bCs/>
            <w:color w:val="000000"/>
            <w:sz w:val="18"/>
          </w:rPr>
          <w:t xml:space="preserve">, </w:t>
        </w:r>
        <w:smartTag w:uri="urn:schemas-microsoft-com:office:smarttags" w:element="country-region">
          <w:r w:rsidRPr="00C006F7">
            <w:rPr>
              <w:rFonts w:ascii="Palatino Linotype" w:hAnsi="Palatino Linotype" w:cs="Arial"/>
              <w:b/>
              <w:bCs/>
              <w:color w:val="000000"/>
              <w:sz w:val="18"/>
            </w:rPr>
            <w:t>England</w:t>
          </w:r>
        </w:smartTag>
      </w:smartTag>
      <w:r w:rsidRPr="00C006F7">
        <w:rPr>
          <w:rFonts w:ascii="Palatino Linotype" w:hAnsi="Palatino Linotype" w:cs="Arial"/>
          <w:b/>
          <w:bCs/>
          <w:color w:val="000000"/>
          <w:sz w:val="18"/>
        </w:rPr>
        <w:tab/>
        <w:t xml:space="preserve">59 Crescent Street, </w:t>
      </w:r>
      <w:smartTag w:uri="urn:schemas-microsoft-com:office:smarttags" w:element="place">
        <w:smartTag w:uri="urn:schemas-microsoft-com:office:smarttags" w:element="City">
          <w:r w:rsidRPr="00C006F7">
            <w:rPr>
              <w:rFonts w:ascii="Palatino Linotype" w:hAnsi="Palatino Linotype" w:cs="Arial"/>
              <w:b/>
              <w:bCs/>
              <w:color w:val="000000"/>
              <w:sz w:val="18"/>
            </w:rPr>
            <w:t>Brooklyn</w:t>
          </w:r>
        </w:smartTag>
        <w:r w:rsidRPr="00C006F7">
          <w:rPr>
            <w:rFonts w:ascii="Palatino Linotype" w:hAnsi="Palatino Linotype" w:cs="Arial"/>
            <w:b/>
            <w:bCs/>
            <w:color w:val="000000"/>
            <w:sz w:val="18"/>
          </w:rPr>
          <w:t xml:space="preserve">, </w:t>
        </w:r>
        <w:smartTag w:uri="urn:schemas-microsoft-com:office:smarttags" w:element="State">
          <w:r w:rsidRPr="00C006F7">
            <w:rPr>
              <w:rFonts w:ascii="Palatino Linotype" w:hAnsi="Palatino Linotype" w:cs="Arial"/>
              <w:b/>
              <w:bCs/>
              <w:color w:val="000000"/>
              <w:sz w:val="18"/>
            </w:rPr>
            <w:t>NY</w:t>
          </w:r>
        </w:smartTag>
        <w:r w:rsidRPr="00C006F7">
          <w:rPr>
            <w:rFonts w:ascii="Palatino Linotype" w:hAnsi="Palatino Linotype" w:cs="Arial"/>
            <w:b/>
            <w:bCs/>
            <w:color w:val="000000"/>
            <w:sz w:val="18"/>
          </w:rPr>
          <w:t xml:space="preserve"> </w:t>
        </w:r>
        <w:smartTag w:uri="urn:schemas-microsoft-com:office:smarttags" w:element="PostalCode">
          <w:r w:rsidRPr="00C006F7">
            <w:rPr>
              <w:rFonts w:ascii="Palatino Linotype" w:hAnsi="Palatino Linotype" w:cs="Arial"/>
              <w:b/>
              <w:bCs/>
              <w:color w:val="000000"/>
              <w:sz w:val="18"/>
            </w:rPr>
            <w:t>11208-1515</w:t>
          </w:r>
        </w:smartTag>
      </w:smartTag>
    </w:p>
    <w:p w:rsidR="00C006F7" w:rsidRPr="00C006F7" w:rsidRDefault="00C006F7" w:rsidP="00C006F7">
      <w:pPr>
        <w:tabs>
          <w:tab w:val="right" w:pos="10800"/>
        </w:tabs>
        <w:rPr>
          <w:rFonts w:ascii="Palatino Linotype" w:hAnsi="Palatino Linotype" w:cs="Arial"/>
          <w:b/>
          <w:bCs/>
          <w:color w:val="000000"/>
          <w:sz w:val="18"/>
        </w:rPr>
      </w:pPr>
      <w:r w:rsidRPr="00C006F7">
        <w:rPr>
          <w:rFonts w:ascii="Palatino Linotype" w:hAnsi="Palatino Linotype" w:cs="Arial"/>
          <w:b/>
          <w:bCs/>
          <w:color w:val="000000"/>
          <w:sz w:val="18"/>
        </w:rPr>
        <w:t xml:space="preserve">M.B.A., University of </w:t>
      </w:r>
      <w:smartTag w:uri="urn:schemas-microsoft-com:office:smarttags" w:element="place">
        <w:smartTag w:uri="urn:schemas-microsoft-com:office:smarttags" w:element="PlaceName">
          <w:r w:rsidRPr="00C006F7">
            <w:rPr>
              <w:rFonts w:ascii="Palatino Linotype" w:hAnsi="Palatino Linotype" w:cs="Arial"/>
              <w:b/>
              <w:bCs/>
              <w:color w:val="000000"/>
              <w:sz w:val="18"/>
            </w:rPr>
            <w:t>Michigan</w:t>
          </w:r>
        </w:smartTag>
        <w:r w:rsidRPr="00C006F7">
          <w:rPr>
            <w:rFonts w:ascii="Palatino Linotype" w:hAnsi="Palatino Linotype" w:cs="Arial"/>
            <w:b/>
            <w:bCs/>
            <w:color w:val="000000"/>
            <w:sz w:val="18"/>
          </w:rPr>
          <w:t xml:space="preserve"> </w:t>
        </w:r>
        <w:smartTag w:uri="urn:schemas-microsoft-com:office:smarttags" w:element="PlaceName">
          <w:r w:rsidRPr="00C006F7">
            <w:rPr>
              <w:rFonts w:ascii="Palatino Linotype" w:hAnsi="Palatino Linotype" w:cs="Arial"/>
              <w:b/>
              <w:bCs/>
              <w:color w:val="000000"/>
              <w:sz w:val="18"/>
            </w:rPr>
            <w:t>Business</w:t>
          </w:r>
        </w:smartTag>
        <w:r w:rsidRPr="00C006F7">
          <w:rPr>
            <w:rFonts w:ascii="Palatino Linotype" w:hAnsi="Palatino Linotype" w:cs="Arial"/>
            <w:b/>
            <w:bCs/>
            <w:color w:val="000000"/>
            <w:sz w:val="18"/>
          </w:rPr>
          <w:t xml:space="preserve"> </w:t>
        </w:r>
        <w:smartTag w:uri="urn:schemas-microsoft-com:office:smarttags" w:element="PlaceType">
          <w:r w:rsidRPr="00C006F7">
            <w:rPr>
              <w:rFonts w:ascii="Palatino Linotype" w:hAnsi="Palatino Linotype" w:cs="Arial"/>
              <w:b/>
              <w:bCs/>
              <w:color w:val="000000"/>
              <w:sz w:val="18"/>
            </w:rPr>
            <w:t>School</w:t>
          </w:r>
        </w:smartTag>
      </w:smartTag>
      <w:r w:rsidRPr="00C006F7">
        <w:rPr>
          <w:rFonts w:ascii="Palatino Linotype" w:hAnsi="Palatino Linotype" w:cs="Arial"/>
          <w:b/>
          <w:bCs/>
          <w:color w:val="000000"/>
          <w:sz w:val="18"/>
        </w:rPr>
        <w:t xml:space="preserve"> </w:t>
      </w:r>
      <w:r w:rsidRPr="00C006F7">
        <w:rPr>
          <w:rFonts w:ascii="Palatino Linotype" w:hAnsi="Palatino Linotype" w:cs="Arial"/>
          <w:b/>
          <w:bCs/>
          <w:color w:val="000000"/>
          <w:sz w:val="18"/>
        </w:rPr>
        <w:tab/>
      </w:r>
      <w:r w:rsidR="00B51961" w:rsidRPr="00C006F7">
        <w:rPr>
          <w:rFonts w:ascii="Palatino Linotype" w:hAnsi="Palatino Linotype" w:cs="Arial"/>
          <w:b/>
          <w:bCs/>
          <w:color w:val="000000"/>
          <w:sz w:val="18"/>
          <w:lang w:val="fr-FR"/>
        </w:rPr>
        <w:t xml:space="preserve">tel. </w:t>
      </w:r>
      <w:r w:rsidR="00B51961" w:rsidRPr="00C006F7">
        <w:rPr>
          <w:rFonts w:ascii="Palatino Linotype" w:hAnsi="Palatino Linotype" w:cs="Arial"/>
          <w:b/>
          <w:bCs/>
          <w:color w:val="000000"/>
          <w:sz w:val="18"/>
        </w:rPr>
        <w:t>(718) 827-9521</w:t>
      </w:r>
    </w:p>
    <w:p w:rsidR="00C006F7" w:rsidRPr="00C006F7" w:rsidRDefault="00C006F7" w:rsidP="00C006F7">
      <w:pPr>
        <w:tabs>
          <w:tab w:val="right" w:pos="10800"/>
        </w:tabs>
        <w:jc w:val="both"/>
        <w:rPr>
          <w:rFonts w:ascii="Palatino Linotype" w:hAnsi="Palatino Linotype"/>
          <w:b/>
          <w:color w:val="000000"/>
          <w:sz w:val="18"/>
          <w:szCs w:val="18"/>
        </w:rPr>
      </w:pPr>
      <w:r w:rsidRPr="00C006F7">
        <w:rPr>
          <w:rFonts w:ascii="Palatino Linotype" w:hAnsi="Palatino Linotype" w:cs="Arial"/>
          <w:b/>
          <w:bCs/>
          <w:color w:val="000000"/>
          <w:sz w:val="18"/>
          <w:lang w:val="fr-FR"/>
        </w:rPr>
        <w:t>D.E.A., La Sorbonne, Paris</w:t>
      </w:r>
      <w:r w:rsidRPr="00C006F7">
        <w:rPr>
          <w:rFonts w:ascii="Palatino Linotype" w:hAnsi="Palatino Linotype" w:cs="Arial"/>
          <w:b/>
          <w:bCs/>
          <w:color w:val="000000"/>
          <w:sz w:val="18"/>
          <w:lang w:val="fr-FR"/>
        </w:rPr>
        <w:tab/>
      </w:r>
      <w:r w:rsidR="00B51961" w:rsidRPr="00C006F7">
        <w:rPr>
          <w:rFonts w:ascii="Palatino Linotype" w:hAnsi="Palatino Linotype" w:cs="Arial"/>
          <w:b/>
          <w:bCs/>
          <w:color w:val="0000FF"/>
          <w:sz w:val="18"/>
          <w:szCs w:val="18"/>
        </w:rPr>
        <w:t>DrR</w:t>
      </w:r>
      <w:hyperlink r:id="rId10" w:history="1">
        <w:r w:rsidR="00B51961" w:rsidRPr="00C006F7">
          <w:rPr>
            <w:rFonts w:ascii="Palatino Linotype" w:hAnsi="Palatino Linotype" w:cs="Arial"/>
            <w:b/>
            <w:bCs/>
            <w:color w:val="0000FF"/>
            <w:sz w:val="18"/>
            <w:szCs w:val="18"/>
          </w:rPr>
          <w:t>Cordero@</w:t>
        </w:r>
        <w:r w:rsidR="00B51961" w:rsidRPr="00C006F7">
          <w:rPr>
            <w:rFonts w:ascii="Palatino Linotype" w:hAnsi="Palatino Linotype" w:cs="Arial"/>
            <w:b/>
            <w:bCs/>
            <w:color w:val="0000FF"/>
            <w:sz w:val="18"/>
            <w:szCs w:val="18"/>
          </w:rPr>
          <w:t>J</w:t>
        </w:r>
        <w:r w:rsidR="00B51961" w:rsidRPr="00C006F7">
          <w:rPr>
            <w:rFonts w:ascii="Palatino Linotype" w:hAnsi="Palatino Linotype" w:cs="Arial"/>
            <w:b/>
            <w:bCs/>
            <w:color w:val="0000FF"/>
            <w:sz w:val="18"/>
            <w:szCs w:val="18"/>
          </w:rPr>
          <w:t>udicial-Discipline-Reform.org</w:t>
        </w:r>
      </w:hyperlink>
    </w:p>
    <w:p w:rsidR="00C006F7" w:rsidRPr="00C006F7" w:rsidRDefault="00C006F7" w:rsidP="00C006F7">
      <w:pPr>
        <w:tabs>
          <w:tab w:val="right" w:pos="10800"/>
        </w:tabs>
        <w:jc w:val="right"/>
        <w:rPr>
          <w:rFonts w:ascii="Palatino Linotype" w:hAnsi="Palatino Linotype" w:cs="Arial"/>
          <w:b/>
          <w:bCs/>
          <w:color w:val="000000"/>
          <w:sz w:val="18"/>
        </w:rPr>
      </w:pPr>
    </w:p>
    <w:p w:rsidR="00C006F7" w:rsidRPr="00C006F7" w:rsidRDefault="00C006F7" w:rsidP="00C006F7">
      <w:pPr>
        <w:tabs>
          <w:tab w:val="right" w:pos="10800"/>
        </w:tabs>
        <w:rPr>
          <w:rFonts w:ascii="Palatino Linotype" w:hAnsi="Palatino Linotype" w:cs="Arial"/>
          <w:b/>
          <w:bCs/>
          <w:color w:val="000000"/>
          <w:sz w:val="18"/>
        </w:rPr>
      </w:pPr>
      <w:r w:rsidRPr="00C006F7">
        <w:rPr>
          <w:rFonts w:ascii="Palatino Linotype" w:hAnsi="Palatino Linotype" w:cs="Arial"/>
          <w:b/>
          <w:bCs/>
          <w:color w:val="000000"/>
          <w:sz w:val="18"/>
          <w:lang w:val="fr-FR"/>
        </w:rPr>
        <w:tab/>
      </w:r>
    </w:p>
    <w:p w:rsidR="00B51961" w:rsidRDefault="00B51961" w:rsidP="00C006F7">
      <w:pPr>
        <w:tabs>
          <w:tab w:val="right" w:pos="10080"/>
        </w:tabs>
        <w:ind w:left="720" w:right="720"/>
        <w:rPr>
          <w:bCs/>
          <w:color w:val="000000"/>
          <w:sz w:val="16"/>
          <w:szCs w:val="16"/>
        </w:rPr>
        <w:sectPr w:rsidR="00B51961" w:rsidSect="00FF2E6E">
          <w:footerReference w:type="first" r:id="rId11"/>
          <w:pgSz w:w="12240" w:h="15840" w:code="1"/>
          <w:pgMar w:top="288" w:right="720" w:bottom="1296" w:left="720" w:header="0" w:footer="864" w:gutter="0"/>
          <w:pgNumType w:start="1"/>
          <w:cols w:space="720"/>
          <w:docGrid w:linePitch="360"/>
        </w:sectPr>
      </w:pPr>
    </w:p>
    <w:p w:rsidR="00C006F7" w:rsidRPr="00C006F7" w:rsidRDefault="00B51961" w:rsidP="00CC27E7">
      <w:pPr>
        <w:tabs>
          <w:tab w:val="right" w:pos="10080"/>
        </w:tabs>
        <w:ind w:left="720" w:right="720" w:firstLine="5280"/>
        <w:jc w:val="right"/>
        <w:rPr>
          <w:bCs/>
          <w:color w:val="000000"/>
        </w:rPr>
      </w:pPr>
      <w:r>
        <w:rPr>
          <w:bCs/>
          <w:color w:val="000000"/>
        </w:rPr>
        <w:lastRenderedPageBreak/>
        <w:t>June 1</w:t>
      </w:r>
      <w:r w:rsidR="00C006F7" w:rsidRPr="00C006F7">
        <w:rPr>
          <w:bCs/>
          <w:color w:val="000000"/>
        </w:rPr>
        <w:t>, 2007</w:t>
      </w:r>
    </w:p>
    <w:p w:rsidR="00C006F7" w:rsidRDefault="00B51961" w:rsidP="00C006F7">
      <w:pPr>
        <w:widowControl w:val="0"/>
        <w:jc w:val="both"/>
        <w:rPr>
          <w:color w:val="000000"/>
        </w:rPr>
      </w:pPr>
      <w:r>
        <w:rPr>
          <w:color w:val="000000"/>
        </w:rPr>
        <w:t>Ms. Susie McCauley</w:t>
      </w:r>
    </w:p>
    <w:p w:rsidR="00B51961" w:rsidRDefault="00B51961" w:rsidP="00C006F7">
      <w:pPr>
        <w:widowControl w:val="0"/>
        <w:jc w:val="both"/>
        <w:rPr>
          <w:color w:val="000000"/>
        </w:rPr>
      </w:pPr>
      <w:r>
        <w:rPr>
          <w:color w:val="000000"/>
        </w:rPr>
        <w:t>WestLaw Trainer</w:t>
      </w:r>
    </w:p>
    <w:p w:rsidR="00B51961" w:rsidRDefault="00B51961" w:rsidP="00C006F7">
      <w:pPr>
        <w:widowControl w:val="0"/>
        <w:jc w:val="both"/>
        <w:rPr>
          <w:color w:val="000000"/>
        </w:rPr>
      </w:pPr>
      <w:r>
        <w:rPr>
          <w:color w:val="000000"/>
        </w:rPr>
        <w:t>West</w:t>
      </w:r>
      <w:r w:rsidR="00CC27E7">
        <w:rPr>
          <w:color w:val="000000"/>
        </w:rPr>
        <w:t xml:space="preserve"> Thomson</w:t>
      </w:r>
    </w:p>
    <w:p w:rsidR="00B51961" w:rsidRPr="00C006F7" w:rsidRDefault="00B51961" w:rsidP="00C006F7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Minnesota </w:t>
      </w:r>
    </w:p>
    <w:p w:rsidR="00C006F7" w:rsidRDefault="00C006F7" w:rsidP="00C006F7">
      <w:pPr>
        <w:widowControl w:val="0"/>
        <w:jc w:val="both"/>
        <w:rPr>
          <w:color w:val="000000"/>
        </w:rPr>
      </w:pPr>
    </w:p>
    <w:p w:rsidR="00B51961" w:rsidRDefault="00C31DA4" w:rsidP="00C006F7">
      <w:pPr>
        <w:widowControl w:val="0"/>
        <w:jc w:val="both"/>
        <w:rPr>
          <w:szCs w:val="20"/>
        </w:rPr>
      </w:pPr>
      <w:r>
        <w:rPr>
          <w:color w:val="000000"/>
        </w:rPr>
        <w:t xml:space="preserve">Re: </w:t>
      </w:r>
      <w:r>
        <w:rPr>
          <w:szCs w:val="20"/>
        </w:rPr>
        <w:t>search feedback &amp;Westlaw advertising on my website in exchange for access to it</w:t>
      </w:r>
    </w:p>
    <w:p w:rsidR="00C31DA4" w:rsidRPr="00C006F7" w:rsidRDefault="00C31DA4" w:rsidP="00C006F7">
      <w:pPr>
        <w:widowControl w:val="0"/>
        <w:jc w:val="both"/>
        <w:rPr>
          <w:color w:val="000000"/>
        </w:rPr>
      </w:pPr>
    </w:p>
    <w:p w:rsidR="00815729" w:rsidRDefault="00815729" w:rsidP="00A1040A">
      <w:r>
        <w:t>Dear Ms. McCauley,</w:t>
      </w:r>
    </w:p>
    <w:p w:rsidR="00815729" w:rsidRDefault="00815729" w:rsidP="00A1040A"/>
    <w:p w:rsidR="00815729" w:rsidRPr="006D0E30" w:rsidRDefault="00815729" w:rsidP="00B51961">
      <w:pPr>
        <w:ind w:firstLine="720"/>
        <w:jc w:val="both"/>
      </w:pPr>
      <w:r>
        <w:t>I would like to let you know how much I apprecia</w:t>
      </w:r>
      <w:r w:rsidR="00235690">
        <w:t>ted the help that you gave me yester</w:t>
      </w:r>
      <w:r>
        <w:t>day to learn to use WestLaw. Your training has saved me a lot of time and steepened my learning curve.</w:t>
      </w:r>
      <w:r w:rsidR="006D0E30">
        <w:t xml:space="preserve"> Please also convey my thanks to your </w:t>
      </w:r>
      <w:r w:rsidR="006D0E30" w:rsidRPr="006D0E30">
        <w:t xml:space="preserve">colleague, Mr. Bryan Gwiazdon, </w:t>
      </w:r>
      <w:r w:rsidR="006D0E30" w:rsidRPr="006D0E30">
        <w:rPr>
          <w:color w:val="333333"/>
        </w:rPr>
        <w:t>for having put me in touch with you so promptly and efficiently.</w:t>
      </w:r>
    </w:p>
    <w:p w:rsidR="00815729" w:rsidRDefault="00815729" w:rsidP="00B51961">
      <w:pPr>
        <w:ind w:firstLine="720"/>
        <w:jc w:val="both"/>
      </w:pPr>
    </w:p>
    <w:p w:rsidR="00235690" w:rsidRDefault="00235690" w:rsidP="00B51961">
      <w:pPr>
        <w:ind w:firstLine="720"/>
        <w:jc w:val="both"/>
      </w:pPr>
      <w:r>
        <w:t>However, while I was able to download FRAP, the download got interrupted after an inordinate wait when I tried to download other documents, such as FRCP, 18 USCA part 1, etc.</w:t>
      </w:r>
      <w:r w:rsidR="00CC27E7">
        <w:t xml:space="preserve"> You may wish to know that through Lexis-Nexis I have been able to download far larger documents and without waiting barely any time, particularly since I have a DSL Internet connection.</w:t>
      </w:r>
      <w:r w:rsidR="0043573A">
        <w:t xml:space="preserve"> Is there any technical glitch or download size limitation?</w:t>
      </w:r>
    </w:p>
    <w:p w:rsidR="00235690" w:rsidRDefault="00235690" w:rsidP="00B51961">
      <w:pPr>
        <w:ind w:firstLine="720"/>
        <w:jc w:val="both"/>
      </w:pPr>
    </w:p>
    <w:p w:rsidR="00815729" w:rsidRDefault="00815729" w:rsidP="00B51961">
      <w:pPr>
        <w:ind w:firstLine="720"/>
        <w:jc w:val="both"/>
      </w:pPr>
      <w:r>
        <w:t>I check</w:t>
      </w:r>
      <w:r w:rsidR="00235690">
        <w:t>ed</w:t>
      </w:r>
      <w:r>
        <w:t xml:space="preserve"> the Ethics in Government Act, but </w:t>
      </w:r>
      <w:r w:rsidR="00C5623F">
        <w:t>apar</w:t>
      </w:r>
      <w:r w:rsidR="00235690">
        <w:t xml:space="preserve">t from references mostly to </w:t>
      </w:r>
      <w:r w:rsidR="00C5623F">
        <w:t xml:space="preserve">Pub. L., </w:t>
      </w:r>
      <w:r>
        <w:t xml:space="preserve">unfortunately </w:t>
      </w:r>
      <w:r w:rsidR="00C5623F">
        <w:t xml:space="preserve">I </w:t>
      </w:r>
      <w:r>
        <w:t>did not find the materials from the agencies referred thereto, such as:</w:t>
      </w:r>
    </w:p>
    <w:p w:rsidR="00815729" w:rsidRDefault="00815729" w:rsidP="00A1040A"/>
    <w:p w:rsidR="00235690" w:rsidRDefault="00235690" w:rsidP="00CC27E7">
      <w:pPr>
        <w:numPr>
          <w:ilvl w:val="1"/>
          <w:numId w:val="1"/>
        </w:numPr>
        <w:spacing w:after="60"/>
      </w:pPr>
      <w:r>
        <w:t>Rules issued by the Judicial Conference of the U.S. (18usc331) and statements or advisory opinions issued by the several committees established by it;</w:t>
      </w:r>
    </w:p>
    <w:p w:rsidR="00815729" w:rsidRDefault="00235690" w:rsidP="00CC27E7">
      <w:pPr>
        <w:numPr>
          <w:ilvl w:val="1"/>
          <w:numId w:val="1"/>
        </w:numPr>
        <w:spacing w:after="60"/>
      </w:pPr>
      <w:r>
        <w:t>t</w:t>
      </w:r>
      <w:r w:rsidR="00815729">
        <w:t>he Administrative Office of the U.S. Courts;</w:t>
      </w:r>
    </w:p>
    <w:p w:rsidR="00815729" w:rsidRDefault="00815729" w:rsidP="00CC27E7">
      <w:pPr>
        <w:numPr>
          <w:ilvl w:val="1"/>
          <w:numId w:val="1"/>
        </w:numPr>
        <w:spacing w:after="60"/>
      </w:pPr>
      <w:r>
        <w:t>The Judiciary Committees of the House of Representative and the Senate;</w:t>
      </w:r>
    </w:p>
    <w:p w:rsidR="00815729" w:rsidRDefault="00815729" w:rsidP="00CC27E7">
      <w:pPr>
        <w:numPr>
          <w:ilvl w:val="1"/>
          <w:numId w:val="1"/>
        </w:numPr>
        <w:spacing w:after="60"/>
      </w:pPr>
      <w:r>
        <w:t>The Office of Government Ethics;</w:t>
      </w:r>
    </w:p>
    <w:p w:rsidR="00815729" w:rsidRDefault="00815729" w:rsidP="00CC27E7">
      <w:pPr>
        <w:numPr>
          <w:ilvl w:val="1"/>
          <w:numId w:val="1"/>
        </w:numPr>
        <w:spacing w:after="60"/>
      </w:pPr>
      <w:r>
        <w:t>The Comptroller General;</w:t>
      </w:r>
    </w:p>
    <w:p w:rsidR="00815729" w:rsidRDefault="00815729" w:rsidP="00815729">
      <w:pPr>
        <w:numPr>
          <w:ilvl w:val="1"/>
          <w:numId w:val="1"/>
        </w:numPr>
      </w:pPr>
      <w:r>
        <w:t>The Library of Congress.</w:t>
      </w:r>
    </w:p>
    <w:p w:rsidR="00815729" w:rsidRDefault="00815729" w:rsidP="00A1040A"/>
    <w:p w:rsidR="00235690" w:rsidRDefault="00C5623F" w:rsidP="006D0E30">
      <w:pPr>
        <w:ind w:firstLine="720"/>
        <w:jc w:val="both"/>
      </w:pPr>
      <w:r>
        <w:t>The materials that I am most interested in are referred to in the following prov</w:t>
      </w:r>
      <w:r w:rsidR="00235690">
        <w:t>isions of:</w:t>
      </w:r>
    </w:p>
    <w:p w:rsidR="00235690" w:rsidRDefault="00235690" w:rsidP="00A1040A"/>
    <w:p w:rsidR="00815729" w:rsidRDefault="00235690" w:rsidP="00A1040A">
      <w:r>
        <w:t xml:space="preserve">A. The Ethics in Government Act, </w:t>
      </w:r>
      <w:r w:rsidR="00C5623F">
        <w:t>5 USCA App. 4:</w:t>
      </w:r>
    </w:p>
    <w:p w:rsidR="00C5623F" w:rsidRDefault="00C5623F" w:rsidP="00A1040A"/>
    <w:p w:rsidR="00C5623F" w:rsidRDefault="00C5623F" w:rsidP="00C5623F">
      <w:pPr>
        <w:numPr>
          <w:ilvl w:val="0"/>
          <w:numId w:val="2"/>
        </w:numPr>
      </w:pPr>
      <w:r>
        <w:t xml:space="preserve">rules and regulations referred to in </w:t>
      </w:r>
    </w:p>
    <w:p w:rsidR="00C5623F" w:rsidRDefault="00C5623F" w:rsidP="00C5623F">
      <w:pPr>
        <w:numPr>
          <w:ilvl w:val="1"/>
          <w:numId w:val="2"/>
        </w:numPr>
      </w:pPr>
      <w:r>
        <w:t xml:space="preserve">§102(b)(2)(A) </w:t>
      </w:r>
    </w:p>
    <w:p w:rsidR="00C5623F" w:rsidRDefault="00C5623F" w:rsidP="00C5623F">
      <w:pPr>
        <w:numPr>
          <w:ilvl w:val="1"/>
          <w:numId w:val="2"/>
        </w:numPr>
      </w:pPr>
      <w:r>
        <w:t xml:space="preserve">§106(b)(3) last sentence, and </w:t>
      </w:r>
    </w:p>
    <w:p w:rsidR="00C5623F" w:rsidRDefault="00C5623F" w:rsidP="00C5623F">
      <w:pPr>
        <w:numPr>
          <w:ilvl w:val="1"/>
          <w:numId w:val="2"/>
        </w:numPr>
        <w:spacing w:after="120"/>
      </w:pPr>
      <w:r>
        <w:t>§106(b)(6)</w:t>
      </w:r>
    </w:p>
    <w:p w:rsidR="00C5623F" w:rsidRDefault="00C5623F" w:rsidP="00C5623F">
      <w:pPr>
        <w:numPr>
          <w:ilvl w:val="0"/>
          <w:numId w:val="2"/>
        </w:numPr>
      </w:pPr>
      <w:r>
        <w:t>forms for reporting the information required under</w:t>
      </w:r>
    </w:p>
    <w:p w:rsidR="00C5623F" w:rsidRDefault="00C5623F" w:rsidP="00C5623F">
      <w:pPr>
        <w:numPr>
          <w:ilvl w:val="1"/>
          <w:numId w:val="2"/>
        </w:numPr>
      </w:pPr>
      <w:r>
        <w:t xml:space="preserve">§103(g), and </w:t>
      </w:r>
    </w:p>
    <w:p w:rsidR="00C5623F" w:rsidRDefault="00C5623F" w:rsidP="00C5623F">
      <w:pPr>
        <w:numPr>
          <w:ilvl w:val="1"/>
          <w:numId w:val="2"/>
        </w:numPr>
        <w:spacing w:after="120"/>
      </w:pPr>
      <w:r>
        <w:t>§107(a)(1)</w:t>
      </w:r>
    </w:p>
    <w:p w:rsidR="00C5623F" w:rsidRDefault="00C5623F" w:rsidP="006D0E30">
      <w:pPr>
        <w:widowControl w:val="0"/>
        <w:numPr>
          <w:ilvl w:val="0"/>
          <w:numId w:val="2"/>
        </w:numPr>
        <w:spacing w:after="120"/>
      </w:pPr>
      <w:r>
        <w:lastRenderedPageBreak/>
        <w:t>then annual report that under §105(b)(3)(C) the Administrative Office of the U.S. Courts must submit to the Committees on the Judiciary of the House of</w:t>
      </w:r>
      <w:r w:rsidR="006D0E30">
        <w:t xml:space="preserve"> Representatives and the Senate;</w:t>
      </w:r>
    </w:p>
    <w:p w:rsidR="00C5623F" w:rsidRDefault="00C5623F" w:rsidP="00CC27E7">
      <w:pPr>
        <w:widowControl w:val="0"/>
        <w:numPr>
          <w:ilvl w:val="0"/>
          <w:numId w:val="2"/>
        </w:numPr>
        <w:spacing w:after="120"/>
      </w:pPr>
      <w:r>
        <w:t>the regulations issued by the Judicial Conference under §105(b)(3)(D) setting forth the circumstances under which redaction of financial disclosure reports is appropriate and the procedures for redaction</w:t>
      </w:r>
      <w:r w:rsidR="006D0E30">
        <w:t>;</w:t>
      </w:r>
    </w:p>
    <w:p w:rsidR="00C5623F" w:rsidRDefault="00C5623F" w:rsidP="00C5623F">
      <w:pPr>
        <w:numPr>
          <w:ilvl w:val="0"/>
          <w:numId w:val="2"/>
        </w:numPr>
        <w:spacing w:after="120"/>
      </w:pPr>
      <w:r>
        <w:t>provisions made under §106(a)(2) by the Judicial Conference to ensure that each report filed under the Act is reviewed within sixty days after the date of such filing;</w:t>
      </w:r>
    </w:p>
    <w:p w:rsidR="00C5623F" w:rsidRDefault="00C5623F" w:rsidP="00C5623F">
      <w:pPr>
        <w:numPr>
          <w:ilvl w:val="0"/>
          <w:numId w:val="2"/>
        </w:numPr>
        <w:spacing w:after="120"/>
      </w:pPr>
      <w:r>
        <w:t>the advisory opinions issued by the Judicial Conference under §106(b)(7)</w:t>
      </w:r>
      <w:r w:rsidR="006D0E30">
        <w:t>;</w:t>
      </w:r>
    </w:p>
    <w:p w:rsidR="00C5623F" w:rsidRDefault="00C5623F" w:rsidP="00C5623F">
      <w:pPr>
        <w:numPr>
          <w:ilvl w:val="0"/>
          <w:numId w:val="2"/>
        </w:numPr>
        <w:spacing w:after="120"/>
      </w:pPr>
      <w:r>
        <w:t>the studies conducted by the Comptroller General under §108(b)</w:t>
      </w:r>
      <w:r w:rsidR="006D0E30">
        <w:t>;</w:t>
      </w:r>
    </w:p>
    <w:p w:rsidR="00C5623F" w:rsidRDefault="00C5623F" w:rsidP="00C5623F">
      <w:pPr>
        <w:numPr>
          <w:ilvl w:val="0"/>
          <w:numId w:val="2"/>
        </w:numPr>
        <w:spacing w:after="120"/>
      </w:pPr>
      <w:r>
        <w:t>the laws and regulations referred to under §110(a) governing conflicts of interest of, or establishing standards of conduct applicable with respect to, officers or employees of the Government</w:t>
      </w:r>
      <w:r w:rsidR="006D0E30">
        <w:t>;</w:t>
      </w:r>
    </w:p>
    <w:p w:rsidR="00C5623F" w:rsidRDefault="00C5623F" w:rsidP="00C5623F">
      <w:pPr>
        <w:numPr>
          <w:ilvl w:val="0"/>
          <w:numId w:val="2"/>
        </w:numPr>
        <w:spacing w:after="120"/>
      </w:pPr>
      <w:r>
        <w:t>the statement under §111 last sentence whereby the Judicial Conference delegated any authority under the Act to an ethics committee established by it and the rules of such committee</w:t>
      </w:r>
      <w:r w:rsidR="006D0E30">
        <w:t>.</w:t>
      </w:r>
    </w:p>
    <w:p w:rsidR="00235690" w:rsidRDefault="00235690" w:rsidP="00235690">
      <w:pPr>
        <w:spacing w:after="120"/>
        <w:ind w:left="720"/>
      </w:pPr>
    </w:p>
    <w:p w:rsidR="00C5623F" w:rsidRDefault="00235690" w:rsidP="00C5623F">
      <w:pPr>
        <w:spacing w:after="120"/>
      </w:pPr>
      <w:r>
        <w:t>B. Administrative Office of the U.S.</w:t>
      </w:r>
    </w:p>
    <w:p w:rsidR="00235690" w:rsidRDefault="00235690" w:rsidP="00235690">
      <w:pPr>
        <w:numPr>
          <w:ilvl w:val="0"/>
          <w:numId w:val="2"/>
        </w:numPr>
        <w:spacing w:after="120"/>
      </w:pPr>
      <w:r>
        <w:t>AO Form 10 for financial disclosures by judicial officers;</w:t>
      </w:r>
    </w:p>
    <w:p w:rsidR="00235690" w:rsidRDefault="00235690" w:rsidP="00235690">
      <w:pPr>
        <w:numPr>
          <w:ilvl w:val="0"/>
          <w:numId w:val="2"/>
        </w:numPr>
        <w:spacing w:after="120"/>
      </w:pPr>
      <w:r>
        <w:t>reports, rules, and statistical data produced by the Administrative Office of the U.S. Courts under 18 USCA §604:</w:t>
      </w:r>
    </w:p>
    <w:p w:rsidR="00235690" w:rsidRDefault="00235690" w:rsidP="006D0E30">
      <w:pPr>
        <w:numPr>
          <w:ilvl w:val="1"/>
          <w:numId w:val="2"/>
        </w:numPr>
      </w:pPr>
      <w:r>
        <w:t xml:space="preserve">(a)(3)-(4); </w:t>
      </w:r>
    </w:p>
    <w:p w:rsidR="00235690" w:rsidRDefault="00235690" w:rsidP="006D0E30">
      <w:pPr>
        <w:numPr>
          <w:ilvl w:val="1"/>
          <w:numId w:val="2"/>
        </w:numPr>
      </w:pPr>
      <w:r>
        <w:t xml:space="preserve">(a)(20); </w:t>
      </w:r>
    </w:p>
    <w:p w:rsidR="00235690" w:rsidRDefault="00235690" w:rsidP="006D0E30">
      <w:pPr>
        <w:numPr>
          <w:ilvl w:val="1"/>
          <w:numId w:val="2"/>
        </w:numPr>
      </w:pPr>
      <w:r>
        <w:t>(g)(2))</w:t>
      </w:r>
    </w:p>
    <w:p w:rsidR="006D0E30" w:rsidRDefault="006D0E30" w:rsidP="006D0E30">
      <w:pPr>
        <w:spacing w:after="120"/>
        <w:ind w:firstLine="720"/>
        <w:jc w:val="both"/>
      </w:pPr>
    </w:p>
    <w:p w:rsidR="00235690" w:rsidRDefault="00235690" w:rsidP="006D0E30">
      <w:pPr>
        <w:spacing w:after="120"/>
        <w:ind w:firstLine="720"/>
        <w:jc w:val="both"/>
      </w:pPr>
      <w:r>
        <w:t xml:space="preserve">Is there any database where this material can be found? The website of the Administrative Office at </w:t>
      </w:r>
      <w:hyperlink r:id="rId12" w:history="1">
        <w:r w:rsidRPr="00E85218">
          <w:rPr>
            <w:rStyle w:val="Hyperlink"/>
          </w:rPr>
          <w:t>www.uscourts.gov</w:t>
        </w:r>
      </w:hyperlink>
      <w:r>
        <w:t>, does not post all these materials. In any event, what AO does provide should also be available through WestLaw.</w:t>
      </w:r>
    </w:p>
    <w:p w:rsidR="00235690" w:rsidRDefault="00235690" w:rsidP="006D0E30">
      <w:pPr>
        <w:spacing w:after="120"/>
        <w:ind w:firstLine="720"/>
        <w:jc w:val="both"/>
      </w:pPr>
      <w:r>
        <w:t>I would be indebted if, as mentioned before, you could put me in touch with your colleague</w:t>
      </w:r>
      <w:r w:rsidR="0043573A">
        <w:t>s</w:t>
      </w:r>
      <w:r>
        <w:t xml:space="preserve"> at West that could determine whether West would like to advertise on my website at </w:t>
      </w:r>
      <w:hyperlink r:id="rId13" w:history="1">
        <w:r w:rsidRPr="00E85218">
          <w:rPr>
            <w:rStyle w:val="Hyperlink"/>
          </w:rPr>
          <w:t>http://Judicial-Discipline-Reform.org</w:t>
        </w:r>
      </w:hyperlink>
      <w:r>
        <w:t xml:space="preserve"> in exchange for affording me access to Westlaw.</w:t>
      </w:r>
    </w:p>
    <w:p w:rsidR="00235690" w:rsidRDefault="00235690" w:rsidP="006D0E30">
      <w:pPr>
        <w:spacing w:after="120"/>
        <w:ind w:firstLine="720"/>
        <w:jc w:val="both"/>
      </w:pPr>
      <w:r>
        <w:t>I thank you in advance and look forward to hearing from you.</w:t>
      </w:r>
    </w:p>
    <w:p w:rsidR="00235690" w:rsidRDefault="00235690" w:rsidP="006D0E30">
      <w:pPr>
        <w:spacing w:after="120"/>
        <w:ind w:firstLine="4320"/>
      </w:pPr>
      <w:r>
        <w:t>Sincerely,</w:t>
      </w:r>
    </w:p>
    <w:p w:rsidR="00C5623F" w:rsidRDefault="00C5623F" w:rsidP="00A1040A"/>
    <w:sectPr w:rsidR="00C5623F" w:rsidSect="00B51961">
      <w:type w:val="continuous"/>
      <w:pgSz w:w="12240" w:h="15840" w:code="1"/>
      <w:pgMar w:top="1440" w:right="1440" w:bottom="1296" w:left="1440" w:header="0" w:footer="86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7539" w:rsidRDefault="00DA7539" w:rsidP="00FF2E6E">
      <w:r>
        <w:separator/>
      </w:r>
    </w:p>
  </w:endnote>
  <w:endnote w:type="continuationSeparator" w:id="1">
    <w:p w:rsidR="00DA7539" w:rsidRDefault="00DA7539" w:rsidP="00FF2E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Cs w:val="20"/>
      </w:rPr>
      <w:id w:val="44648470"/>
      <w:docPartObj>
        <w:docPartGallery w:val="Page Numbers (Bottom of Page)"/>
        <w:docPartUnique/>
      </w:docPartObj>
    </w:sdtPr>
    <w:sdtContent>
      <w:sdt>
        <w:sdtPr>
          <w:rPr>
            <w:szCs w:val="20"/>
          </w:rPr>
          <w:id w:val="44648469"/>
          <w:docPartObj>
            <w:docPartGallery w:val="Page Numbers (Top of Page)"/>
            <w:docPartUnique/>
          </w:docPartObj>
        </w:sdtPr>
        <w:sdtContent>
          <w:p w:rsidR="00215926" w:rsidRPr="00215926" w:rsidRDefault="00215926" w:rsidP="00215926">
            <w:pPr>
              <w:pStyle w:val="Footer"/>
              <w:tabs>
                <w:tab w:val="clear" w:pos="4320"/>
                <w:tab w:val="clear" w:pos="8640"/>
                <w:tab w:val="right" w:pos="9360"/>
              </w:tabs>
              <w:rPr>
                <w:szCs w:val="20"/>
              </w:rPr>
            </w:pPr>
            <w:r w:rsidRPr="00215926">
              <w:rPr>
                <w:szCs w:val="20"/>
              </w:rPr>
              <w:fldChar w:fldCharType="begin"/>
            </w:r>
            <w:r w:rsidRPr="00215926">
              <w:rPr>
                <w:szCs w:val="20"/>
              </w:rPr>
              <w:instrText xml:space="preserve"> PAGE </w:instrText>
            </w:r>
            <w:r w:rsidRPr="00215926">
              <w:rPr>
                <w:szCs w:val="20"/>
              </w:rPr>
              <w:fldChar w:fldCharType="separate"/>
            </w:r>
            <w:r w:rsidR="0043573A">
              <w:rPr>
                <w:noProof/>
                <w:szCs w:val="20"/>
              </w:rPr>
              <w:t>2</w:t>
            </w:r>
            <w:r w:rsidRPr="00215926">
              <w:rPr>
                <w:szCs w:val="20"/>
              </w:rPr>
              <w:fldChar w:fldCharType="end"/>
            </w:r>
            <w:r w:rsidRPr="00215926">
              <w:rPr>
                <w:szCs w:val="20"/>
              </w:rPr>
              <w:t xml:space="preserve"> of 2</w:t>
            </w:r>
            <w:r w:rsidRPr="00215926">
              <w:rPr>
                <w:szCs w:val="20"/>
              </w:rPr>
              <w:tab/>
              <w:t>Dr</w:t>
            </w:r>
            <w:r>
              <w:rPr>
                <w:szCs w:val="20"/>
              </w:rPr>
              <w:t>. Cordero’s letter of 6/1/7 to WestLaw Ms. McCauley</w:t>
            </w:r>
            <w:r w:rsidR="00046C39">
              <w:rPr>
                <w:szCs w:val="20"/>
              </w:rPr>
              <w:t xml:space="preserve"> re search feedback</w:t>
            </w:r>
            <w:r>
              <w:rPr>
                <w:szCs w:val="20"/>
              </w:rPr>
              <w:t xml:space="preserve"> &amp; web advertising</w:t>
            </w:r>
          </w:p>
        </w:sdtContent>
      </w:sdt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Cs w:val="20"/>
      </w:rPr>
      <w:id w:val="44648422"/>
      <w:docPartObj>
        <w:docPartGallery w:val="Page Numbers (Bottom of Page)"/>
        <w:docPartUnique/>
      </w:docPartObj>
    </w:sdtPr>
    <w:sdtContent>
      <w:sdt>
        <w:sdtPr>
          <w:rPr>
            <w:szCs w:val="20"/>
          </w:rPr>
          <w:id w:val="98381352"/>
          <w:docPartObj>
            <w:docPartGallery w:val="Page Numbers (Top of Page)"/>
            <w:docPartUnique/>
          </w:docPartObj>
        </w:sdtPr>
        <w:sdtContent>
          <w:p w:rsidR="00FF2E6E" w:rsidRPr="00DC10A1" w:rsidRDefault="00DC10A1" w:rsidP="00DC10A1">
            <w:pPr>
              <w:pStyle w:val="Footer"/>
              <w:widowControl w:val="0"/>
              <w:tabs>
                <w:tab w:val="clear" w:pos="4320"/>
                <w:tab w:val="clear" w:pos="8640"/>
                <w:tab w:val="right" w:pos="10080"/>
              </w:tabs>
              <w:ind w:left="720" w:right="720"/>
              <w:rPr>
                <w:szCs w:val="20"/>
              </w:rPr>
            </w:pPr>
            <w:r w:rsidRPr="00DC10A1">
              <w:rPr>
                <w:szCs w:val="20"/>
              </w:rPr>
              <w:tab/>
            </w:r>
            <w:r w:rsidR="00FF2E6E" w:rsidRPr="00DC10A1">
              <w:rPr>
                <w:szCs w:val="20"/>
              </w:rPr>
              <w:fldChar w:fldCharType="begin"/>
            </w:r>
            <w:r w:rsidR="00FF2E6E" w:rsidRPr="00DC10A1">
              <w:rPr>
                <w:szCs w:val="20"/>
              </w:rPr>
              <w:instrText xml:space="preserve"> PAGE </w:instrText>
            </w:r>
            <w:r w:rsidR="00FF2E6E" w:rsidRPr="00DC10A1">
              <w:rPr>
                <w:szCs w:val="20"/>
              </w:rPr>
              <w:fldChar w:fldCharType="separate"/>
            </w:r>
            <w:r w:rsidR="0043573A">
              <w:rPr>
                <w:noProof/>
                <w:szCs w:val="20"/>
              </w:rPr>
              <w:t>1</w:t>
            </w:r>
            <w:r w:rsidR="00FF2E6E" w:rsidRPr="00DC10A1">
              <w:rPr>
                <w:szCs w:val="20"/>
              </w:rPr>
              <w:fldChar w:fldCharType="end"/>
            </w:r>
            <w:r w:rsidR="00FF2E6E" w:rsidRPr="00DC10A1">
              <w:rPr>
                <w:szCs w:val="20"/>
              </w:rPr>
              <w:t xml:space="preserve"> of 2</w:t>
            </w:r>
          </w:p>
        </w:sdtContent>
      </w:sdt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6F7" w:rsidRDefault="00C006F7" w:rsidP="00BD063C">
    <w:pPr>
      <w:pStyle w:val="Footer"/>
      <w:tabs>
        <w:tab w:val="clear" w:pos="4320"/>
        <w:tab w:val="clear" w:pos="8640"/>
        <w:tab w:val="right" w:pos="10080"/>
      </w:tabs>
    </w:pPr>
    <w:r>
      <w:tab/>
      <w:t xml:space="preserve">page </w:t>
    </w:r>
    <w:fldSimple w:instr=" PAGE ">
      <w:r>
        <w:rPr>
          <w:noProof/>
        </w:rPr>
        <w:t>3</w:t>
      </w:r>
    </w:fldSimple>
    <w:r>
      <w:t xml:space="preserve"> of </w:t>
    </w:r>
    <w:fldSimple w:instr=" NUMPAGES ">
      <w:r w:rsidR="0043573A">
        <w:rPr>
          <w:noProof/>
        </w:rPr>
        <w:t>4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7539" w:rsidRDefault="00DA7539" w:rsidP="00FF2E6E">
      <w:r>
        <w:separator/>
      </w:r>
    </w:p>
  </w:footnote>
  <w:footnote w:type="continuationSeparator" w:id="1">
    <w:p w:rsidR="00DA7539" w:rsidRDefault="00DA7539" w:rsidP="00FF2E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374239"/>
    <w:multiLevelType w:val="hybridMultilevel"/>
    <w:tmpl w:val="EB50EE1E"/>
    <w:lvl w:ilvl="0" w:tplc="89588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B2A0B0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182541"/>
    <w:multiLevelType w:val="hybridMultilevel"/>
    <w:tmpl w:val="EB50EE1E"/>
    <w:lvl w:ilvl="0" w:tplc="89588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B2A0B0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77F6C"/>
    <w:rsid w:val="00000930"/>
    <w:rsid w:val="00026626"/>
    <w:rsid w:val="00044666"/>
    <w:rsid w:val="00044CD5"/>
    <w:rsid w:val="000466A5"/>
    <w:rsid w:val="00046C39"/>
    <w:rsid w:val="00046F24"/>
    <w:rsid w:val="00053FEE"/>
    <w:rsid w:val="00055B47"/>
    <w:rsid w:val="000564E4"/>
    <w:rsid w:val="00061278"/>
    <w:rsid w:val="00066EC2"/>
    <w:rsid w:val="00074E3B"/>
    <w:rsid w:val="00076F9C"/>
    <w:rsid w:val="00085EB9"/>
    <w:rsid w:val="000B0930"/>
    <w:rsid w:val="000D79FC"/>
    <w:rsid w:val="000F403E"/>
    <w:rsid w:val="00112FDF"/>
    <w:rsid w:val="001212F5"/>
    <w:rsid w:val="00121513"/>
    <w:rsid w:val="0013451F"/>
    <w:rsid w:val="00161494"/>
    <w:rsid w:val="00167F4D"/>
    <w:rsid w:val="001719B5"/>
    <w:rsid w:val="00172078"/>
    <w:rsid w:val="00175419"/>
    <w:rsid w:val="00182DE7"/>
    <w:rsid w:val="00190640"/>
    <w:rsid w:val="001914D4"/>
    <w:rsid w:val="001C2A2B"/>
    <w:rsid w:val="001C5820"/>
    <w:rsid w:val="001C5908"/>
    <w:rsid w:val="001D6366"/>
    <w:rsid w:val="001F0996"/>
    <w:rsid w:val="00201548"/>
    <w:rsid w:val="00215926"/>
    <w:rsid w:val="00225CE6"/>
    <w:rsid w:val="00232923"/>
    <w:rsid w:val="00235690"/>
    <w:rsid w:val="00254FF6"/>
    <w:rsid w:val="0026426E"/>
    <w:rsid w:val="00265C06"/>
    <w:rsid w:val="00277B89"/>
    <w:rsid w:val="00277F6C"/>
    <w:rsid w:val="00281A65"/>
    <w:rsid w:val="00295703"/>
    <w:rsid w:val="002A53B9"/>
    <w:rsid w:val="002C1715"/>
    <w:rsid w:val="002E4A58"/>
    <w:rsid w:val="002F01ED"/>
    <w:rsid w:val="002F620B"/>
    <w:rsid w:val="003069EB"/>
    <w:rsid w:val="00327E6E"/>
    <w:rsid w:val="00335C8F"/>
    <w:rsid w:val="00367109"/>
    <w:rsid w:val="0036733C"/>
    <w:rsid w:val="00367627"/>
    <w:rsid w:val="00367830"/>
    <w:rsid w:val="00373E16"/>
    <w:rsid w:val="00385D27"/>
    <w:rsid w:val="00386F4A"/>
    <w:rsid w:val="003A4597"/>
    <w:rsid w:val="003B2B8D"/>
    <w:rsid w:val="003C16A9"/>
    <w:rsid w:val="003E055C"/>
    <w:rsid w:val="003F0A40"/>
    <w:rsid w:val="003F1E9F"/>
    <w:rsid w:val="004148DA"/>
    <w:rsid w:val="00423E02"/>
    <w:rsid w:val="00427239"/>
    <w:rsid w:val="00433538"/>
    <w:rsid w:val="0043573A"/>
    <w:rsid w:val="00436266"/>
    <w:rsid w:val="00456F7E"/>
    <w:rsid w:val="004704AF"/>
    <w:rsid w:val="00472C7E"/>
    <w:rsid w:val="00477159"/>
    <w:rsid w:val="00486419"/>
    <w:rsid w:val="00494239"/>
    <w:rsid w:val="0049451A"/>
    <w:rsid w:val="004A0ED3"/>
    <w:rsid w:val="004D0AEA"/>
    <w:rsid w:val="004D1D06"/>
    <w:rsid w:val="005078CF"/>
    <w:rsid w:val="00515FA0"/>
    <w:rsid w:val="0058514E"/>
    <w:rsid w:val="005927E5"/>
    <w:rsid w:val="005A24F0"/>
    <w:rsid w:val="005A2F97"/>
    <w:rsid w:val="005A40E3"/>
    <w:rsid w:val="005C02F6"/>
    <w:rsid w:val="005E0825"/>
    <w:rsid w:val="00601806"/>
    <w:rsid w:val="006041D3"/>
    <w:rsid w:val="00631304"/>
    <w:rsid w:val="006776FC"/>
    <w:rsid w:val="00680B63"/>
    <w:rsid w:val="00683FE3"/>
    <w:rsid w:val="006842BF"/>
    <w:rsid w:val="00690E1E"/>
    <w:rsid w:val="00691700"/>
    <w:rsid w:val="006A02AB"/>
    <w:rsid w:val="006B0E16"/>
    <w:rsid w:val="006D0E30"/>
    <w:rsid w:val="006D31A0"/>
    <w:rsid w:val="006D505D"/>
    <w:rsid w:val="006E1470"/>
    <w:rsid w:val="006E3AB8"/>
    <w:rsid w:val="006F3B29"/>
    <w:rsid w:val="007308DD"/>
    <w:rsid w:val="00745E1C"/>
    <w:rsid w:val="007564D2"/>
    <w:rsid w:val="00764D77"/>
    <w:rsid w:val="00791B4A"/>
    <w:rsid w:val="007932EC"/>
    <w:rsid w:val="007C22A6"/>
    <w:rsid w:val="007C4A9E"/>
    <w:rsid w:val="007C664C"/>
    <w:rsid w:val="007C7B23"/>
    <w:rsid w:val="007C7C97"/>
    <w:rsid w:val="007D2C12"/>
    <w:rsid w:val="007D304C"/>
    <w:rsid w:val="007F7FF9"/>
    <w:rsid w:val="00801CDA"/>
    <w:rsid w:val="0080703C"/>
    <w:rsid w:val="008114D1"/>
    <w:rsid w:val="00815729"/>
    <w:rsid w:val="00830889"/>
    <w:rsid w:val="00834DE2"/>
    <w:rsid w:val="00835D4C"/>
    <w:rsid w:val="0084272B"/>
    <w:rsid w:val="00853918"/>
    <w:rsid w:val="008575E3"/>
    <w:rsid w:val="008604A3"/>
    <w:rsid w:val="00863738"/>
    <w:rsid w:val="008827D4"/>
    <w:rsid w:val="00887D67"/>
    <w:rsid w:val="008C1D66"/>
    <w:rsid w:val="008C6A90"/>
    <w:rsid w:val="008C7E0B"/>
    <w:rsid w:val="008D014D"/>
    <w:rsid w:val="008D601B"/>
    <w:rsid w:val="008E0F8A"/>
    <w:rsid w:val="008F7F43"/>
    <w:rsid w:val="00900F2A"/>
    <w:rsid w:val="009338CB"/>
    <w:rsid w:val="00937A2E"/>
    <w:rsid w:val="009467CC"/>
    <w:rsid w:val="00956E30"/>
    <w:rsid w:val="009616ED"/>
    <w:rsid w:val="009703C8"/>
    <w:rsid w:val="0098338B"/>
    <w:rsid w:val="00990ABC"/>
    <w:rsid w:val="00991CB4"/>
    <w:rsid w:val="009A09E5"/>
    <w:rsid w:val="009B72E3"/>
    <w:rsid w:val="009B7619"/>
    <w:rsid w:val="009C1620"/>
    <w:rsid w:val="009D09ED"/>
    <w:rsid w:val="009F54DE"/>
    <w:rsid w:val="00A0040D"/>
    <w:rsid w:val="00A0096A"/>
    <w:rsid w:val="00A032DD"/>
    <w:rsid w:val="00A1040A"/>
    <w:rsid w:val="00A156D1"/>
    <w:rsid w:val="00A163C8"/>
    <w:rsid w:val="00A2467D"/>
    <w:rsid w:val="00A70BB4"/>
    <w:rsid w:val="00A715E2"/>
    <w:rsid w:val="00A72483"/>
    <w:rsid w:val="00A77948"/>
    <w:rsid w:val="00A80F45"/>
    <w:rsid w:val="00AB646E"/>
    <w:rsid w:val="00AD59AA"/>
    <w:rsid w:val="00B01180"/>
    <w:rsid w:val="00B15CFA"/>
    <w:rsid w:val="00B20223"/>
    <w:rsid w:val="00B20919"/>
    <w:rsid w:val="00B26CAA"/>
    <w:rsid w:val="00B32131"/>
    <w:rsid w:val="00B42ECF"/>
    <w:rsid w:val="00B4423C"/>
    <w:rsid w:val="00B51961"/>
    <w:rsid w:val="00B6017A"/>
    <w:rsid w:val="00B646D2"/>
    <w:rsid w:val="00B71352"/>
    <w:rsid w:val="00B82D34"/>
    <w:rsid w:val="00B83D03"/>
    <w:rsid w:val="00B9203D"/>
    <w:rsid w:val="00BA4806"/>
    <w:rsid w:val="00BC2790"/>
    <w:rsid w:val="00BD0A67"/>
    <w:rsid w:val="00BE7C7B"/>
    <w:rsid w:val="00BF547F"/>
    <w:rsid w:val="00C006F7"/>
    <w:rsid w:val="00C02142"/>
    <w:rsid w:val="00C02BC5"/>
    <w:rsid w:val="00C044D5"/>
    <w:rsid w:val="00C307B3"/>
    <w:rsid w:val="00C31B6B"/>
    <w:rsid w:val="00C31DA4"/>
    <w:rsid w:val="00C3375E"/>
    <w:rsid w:val="00C35927"/>
    <w:rsid w:val="00C374E9"/>
    <w:rsid w:val="00C41B44"/>
    <w:rsid w:val="00C51CC8"/>
    <w:rsid w:val="00C5623F"/>
    <w:rsid w:val="00C63026"/>
    <w:rsid w:val="00C66E23"/>
    <w:rsid w:val="00C73AF7"/>
    <w:rsid w:val="00C91DB5"/>
    <w:rsid w:val="00C925E5"/>
    <w:rsid w:val="00CA5743"/>
    <w:rsid w:val="00CA6749"/>
    <w:rsid w:val="00CB6770"/>
    <w:rsid w:val="00CC27E7"/>
    <w:rsid w:val="00CC5814"/>
    <w:rsid w:val="00CD1FA1"/>
    <w:rsid w:val="00CE6738"/>
    <w:rsid w:val="00CF0E61"/>
    <w:rsid w:val="00CF32B0"/>
    <w:rsid w:val="00CF45C9"/>
    <w:rsid w:val="00D040BA"/>
    <w:rsid w:val="00D13DDF"/>
    <w:rsid w:val="00D40F80"/>
    <w:rsid w:val="00D441B0"/>
    <w:rsid w:val="00D7600D"/>
    <w:rsid w:val="00D81EE0"/>
    <w:rsid w:val="00D92104"/>
    <w:rsid w:val="00DA7539"/>
    <w:rsid w:val="00DC10A1"/>
    <w:rsid w:val="00DC5CCC"/>
    <w:rsid w:val="00DD0FAF"/>
    <w:rsid w:val="00DE406C"/>
    <w:rsid w:val="00E11CB2"/>
    <w:rsid w:val="00E20CC6"/>
    <w:rsid w:val="00E2729D"/>
    <w:rsid w:val="00E818AF"/>
    <w:rsid w:val="00EA382D"/>
    <w:rsid w:val="00ED3220"/>
    <w:rsid w:val="00EF4361"/>
    <w:rsid w:val="00EF570E"/>
    <w:rsid w:val="00EF6F33"/>
    <w:rsid w:val="00F13BB1"/>
    <w:rsid w:val="00F33DFF"/>
    <w:rsid w:val="00F81940"/>
    <w:rsid w:val="00F92D6F"/>
    <w:rsid w:val="00F93A88"/>
    <w:rsid w:val="00F970FD"/>
    <w:rsid w:val="00FA0504"/>
    <w:rsid w:val="00FA42CD"/>
    <w:rsid w:val="00FC12A3"/>
    <w:rsid w:val="00FE06F6"/>
    <w:rsid w:val="00FE2935"/>
    <w:rsid w:val="00FE5781"/>
    <w:rsid w:val="00FF2E6E"/>
    <w:rsid w:val="00FF6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ostalCode"/>
  <w:smartTagType w:namespaceuri="urn:schemas-microsoft-com:office:smarttags" w:name="country-region"/>
  <w:smartTagType w:namespaceuri="urn:schemas-microsoft-com:office:smarttags" w:name="address"/>
  <w:smartTagType w:namespaceuri="urn:schemas-microsoft-com:office:smarttags" w:name="date"/>
  <w:smartTagType w:namespaceuri="urn:schemas-microsoft-com:office:smarttags" w:name="Street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23F"/>
    <w:rPr>
      <w:sz w:val="24"/>
      <w:szCs w:val="24"/>
    </w:rPr>
  </w:style>
  <w:style w:type="paragraph" w:styleId="Heading1">
    <w:name w:val="heading 1"/>
    <w:basedOn w:val="Normal"/>
    <w:next w:val="Normal"/>
    <w:qFormat/>
    <w:rsid w:val="00A1040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link w:val="FooterChar"/>
    <w:uiPriority w:val="99"/>
    <w:rsid w:val="00074E3B"/>
    <w:pPr>
      <w:tabs>
        <w:tab w:val="center" w:pos="4320"/>
        <w:tab w:val="right" w:pos="8640"/>
      </w:tabs>
    </w:pPr>
    <w:rPr>
      <w:sz w:val="20"/>
    </w:rPr>
  </w:style>
  <w:style w:type="character" w:styleId="Hyperlink">
    <w:name w:val="Hyperlink"/>
    <w:basedOn w:val="DefaultParagraphFont"/>
    <w:rsid w:val="00C31B6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06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6F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F2E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F2E6E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F2E6E"/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Judicial-Discipline-Reform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rankknee@aol.com" TargetMode="External"/><Relationship Id="rId12" Type="http://schemas.openxmlformats.org/officeDocument/2006/relationships/hyperlink" Target="http://www.uscourts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CorderoRic@yahoo.com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4</Pages>
  <Words>948</Words>
  <Characters>5407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Links>
    <vt:vector size="6" baseType="variant">
      <vt:variant>
        <vt:i4>393270</vt:i4>
      </vt:variant>
      <vt:variant>
        <vt:i4>0</vt:i4>
      </vt:variant>
      <vt:variant>
        <vt:i4>0</vt:i4>
      </vt:variant>
      <vt:variant>
        <vt:i4>5</vt:i4>
      </vt:variant>
      <vt:variant>
        <vt:lpwstr>mailto:Frankknee@aol.com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Cordero</dc:creator>
  <cp:keywords/>
  <dc:description/>
  <cp:lastModifiedBy>Richard Cordero</cp:lastModifiedBy>
  <cp:revision>7</cp:revision>
  <dcterms:created xsi:type="dcterms:W3CDTF">2006-12-06T16:48:00Z</dcterms:created>
  <dcterms:modified xsi:type="dcterms:W3CDTF">2007-06-01T22:40:00Z</dcterms:modified>
</cp:coreProperties>
</file>